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物流和外延型企业</w:t>
      </w:r>
    </w:p>
    <w:p>
      <w:r>
        <w:rPr>
          <w:rFonts w:ascii="宋体" w:hAnsi="宋体" w:eastAsia="宋体"/>
          <w:sz w:val="24"/>
        </w:rPr>
        <w:t>（美）桑德尔·博伊森（Sandor Boyson）等著；李伊松，傅少川，彭志忠译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物流和外延型企业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（美）桑德尔·博伊森（Sandor Boyson）等著；李伊松，傅少川，彭志忠译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本书出售、求购地址：https://www.jiaokey.com/book/detail/11475316.html</w:t>
      </w:r>
    </w:p>
    <w:p>
      <w:r>
        <w:t>更多相关图书推荐：https://www.jiaokey.com</w:t>
      </w:r>
    </w:p>
    <w:p>
      <w:r>
        <w:t>（美）桑德尔·博伊森（Sandor Boyson）等著；李伊松，傅少川，彭志忠译 其他作品：https://www.jiaokey.com/tag/（美）桑德尔·博伊森（Sandor Boyson）等著；李伊松，傅少川，彭志忠译.html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关键词搜索：https://www.jiaokey.com/tag/物流和外延型企业.html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