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信息论与编码理论</w:t>
      </w:r>
    </w:p>
    <w:p>
      <w:r>
        <w:rPr>
          <w:rFonts w:ascii="宋体" w:hAnsi="宋体" w:eastAsia="宋体"/>
          <w:sz w:val="24"/>
        </w:rPr>
        <w:t>曲炜主编；王结南，汪建立副主编；朱诗兵，刘作学，李迎春编著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曲炜主编；王结南，汪建立副主编；朱诗兵，刘作学，李迎春编著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本书出售、求购地址：https://www.jiaokey.com/book/detail/11474901.html</w:t>
      </w:r>
    </w:p>
    <w:p>
      <w:r>
        <w:t>更多相关图书推荐：https://www.jiaokey.com</w:t>
      </w:r>
    </w:p>
    <w:p>
      <w:r>
        <w:t>曲炜主编；王结南，汪建立副主编；朱诗兵，刘作学，李迎春编著 其他作品：https://www.jiaokey.com/tag/曲炜主编；王结南，汪建立副主编；朱诗兵，刘作学，李迎春编著.html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关键词搜索：https://www.jiaokey.com/tag/信息论与编码理论.html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