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低风险  高回报</w:t>
      </w:r>
    </w:p>
    <w:p>
      <w:r>
        <w:rPr>
          <w:rFonts w:ascii="宋体" w:hAnsi="宋体" w:eastAsia="宋体"/>
          <w:sz w:val="24"/>
        </w:rPr>
        <w:t>（美）鲍勃·瑞斯（Bob Reiss）著；颜晓东，赵实译；北京天则经济研究所选译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低风险  高回报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（美）鲍勃·瑞斯（Bob Reiss）著；颜晓东，赵实译；北京天则经济研究所选译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本书出售、求购地址：https://www.jiaokey.com/book/detail/11473596.html</w:t>
      </w:r>
    </w:p>
    <w:p>
      <w:r>
        <w:t>更多相关图书推荐：https://www.jiaokey.com</w:t>
      </w:r>
    </w:p>
    <w:p>
      <w:r>
        <w:t>（美）鲍勃·瑞斯（Bob Reiss）著；颜晓东，赵实译；北京天则经济研究所选译 其他作品：https://www.jiaokey.com/tag/（美）鲍勃·瑞斯（Bob Reiss）著；颜晓东，赵实译；北京天则经济研究所选译.html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关键词搜索：https://www.jiaokey.com/tag/低风险  高回报.html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