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  土建、水利类专业适用  第3版</w:t>
      </w:r>
    </w:p>
    <w:p>
      <w:r>
        <w:rPr>
          <w:rFonts w:ascii="宋体" w:hAnsi="宋体" w:eastAsia="宋体"/>
          <w:sz w:val="24"/>
        </w:rPr>
        <w:t>朱育万，卢传贤主编；孙天杰，丁宇明，朱建国副主编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  土建、水利类专业适用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朱育万，卢传贤主编；孙天杰，丁宇明，朱建国副主编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本书出售、求购地址：https://www.jiaokey.com/book/detail/11467002.html</w:t>
      </w:r>
    </w:p>
    <w:p>
      <w:r>
        <w:t>更多相关图书推荐：https://www.jiaokey.com</w:t>
      </w:r>
    </w:p>
    <w:p>
      <w:r>
        <w:t>朱育万，卢传贤主编；孙天杰，丁宇明，朱建国副主编 其他作品：https://www.jiaokey.com/tag/朱育万，卢传贤主编；孙天杰，丁宇明，朱建国副主编.html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关键词搜索：https://www.jiaokey.com/tag/画法几何及土木工程制图  土建、水利类专业适用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