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风起时</w:t>
      </w:r>
    </w:p>
    <w:p>
      <w:r>
        <w:rPr>
          <w:rFonts w:ascii="宋体" w:hAnsi="宋体" w:eastAsia="宋体"/>
          <w:sz w:val="24"/>
        </w:rPr>
        <w:t>董晓航 宋峥中文编译；Raymond Briggs原著；安滕胜夫等原编译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董晓航 宋峥中文编译；Raymond Briggs原著；安滕胜夫等原编译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本书出售、求购地址：https://www.jiaokey.com/book/detail/11465696.html</w:t>
      </w:r>
    </w:p>
    <w:p>
      <w:r>
        <w:t>更多相关图书推荐：https://www.jiaokey.com</w:t>
      </w:r>
    </w:p>
    <w:p>
      <w:r>
        <w:t>董晓航 宋峥中文编译；Raymond Briggs原著；安滕胜夫等原编译 其他作品：https://www.jiaokey.com/tag/董晓航 宋峥中文编译；Raymond Briggs原著；安滕胜夫等原编译.html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关键词搜索：https://www.jiaokey.com/tag/风起时.html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