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中级财务管理答疑解惑</w:t>
      </w:r>
    </w:p>
    <w:p>
      <w:r>
        <w:rPr>
          <w:rFonts w:ascii="宋体" w:hAnsi="宋体" w:eastAsia="宋体"/>
          <w:sz w:val="24"/>
        </w:rPr>
        <w:t>中华会计网校编；施平，李敏，吴井红，周建波，张敦力，徐春立，杜贵强，魏红元，赵章文，张继洪，陈永飞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中华会计网校编；施平，李敏，吴井红，周建波，张敦力，徐春立，杜贵强，魏红元，赵章文，张继洪，陈永飞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本书出售、求购地址：https://www.jiaokey.com/book/detail/11461816.html</w:t>
      </w:r>
    </w:p>
    <w:p>
      <w:r>
        <w:t>更多相关图书推荐：https://www.jiaokey.com</w:t>
      </w:r>
    </w:p>
    <w:p>
      <w:r>
        <w:t>中华会计网校编；施平，李敏，吴井红，周建波，张敦力，徐春立，杜贵强，魏红元，赵章文，张继洪，陈永飞 其他作品：https://www.jiaokey.com/tag/中华会计网校编；施平，李敏，吴井红，周建波，张敦力，徐春立，杜贵强，魏红元，赵章文，张继洪，陈永飞.html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关键词搜索：https://www.jiaokey.com/tag/中级财务管理答疑解惑.html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