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中级会计实务答疑解惑</w:t>
      </w:r>
    </w:p>
    <w:p>
      <w:r>
        <w:rPr>
          <w:rFonts w:ascii="宋体" w:hAnsi="宋体" w:eastAsia="宋体"/>
          <w:sz w:val="24"/>
        </w:rPr>
        <w:t>中华会计网校编；杨闻萍，郭建华，路国平，施元冲，叶邦银，孙贤林，王珏，李秀真，于德惠，何泽水等编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中级会计实务答疑解惑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中华会计网校编；杨闻萍，郭建华，路国平，施元冲，叶邦银，孙贤林，王珏，李秀真，于德惠，何泽水等编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本书出售、求购地址：https://www.jiaokey.com/book/detail/11461811.html</w:t>
      </w:r>
    </w:p>
    <w:p>
      <w:r>
        <w:t>更多相关图书推荐：https://www.jiaokey.com</w:t>
      </w:r>
    </w:p>
    <w:p>
      <w:r>
        <w:t>中华会计网校编；杨闻萍，郭建华，路国平，施元冲，叶邦银，孙贤林，王珏，李秀真，于德惠，何泽水等编 其他作品：https://www.jiaokey.com/tag/中华会计网校编；杨闻萍，郭建华，路国平，施元冲，叶邦银，孙贤林，王珏，李秀真，于德惠，何泽水等编.html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关键词搜索：https://www.jiaokey.com/tag/中级会计实务答疑解惑.html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