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现象学理论体系剖析  现象学横向研究</w:t>
      </w:r>
    </w:p>
    <w:p>
      <w:r>
        <w:rPr>
          <w:rFonts w:ascii="宋体" w:hAnsi="宋体" w:eastAsia="宋体"/>
          <w:sz w:val="24"/>
        </w:rPr>
        <w:t>罗克汀著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现象学理论体系剖析  现象学横向研究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罗克汀著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本书出售、求购地址：https://www.jiaokey.com/book/detail/11461098.html</w:t>
      </w:r>
    </w:p>
    <w:p>
      <w:r>
        <w:t>更多相关图书推荐：https://www.jiaokey.com</w:t>
      </w:r>
    </w:p>
    <w:p>
      <w:r>
        <w:t>罗克汀著 其他作品：https://www.jiaokey.com/tag/罗克汀著.html</w:t>
      </w:r>
    </w:p>
    <w:p>
      <w:r>
        <w:t>广州：广州文化出版社 出版图书：https://www.jiaokey.com/tag/广州：广州文化出版社.html</w:t>
      </w:r>
    </w:p>
    <w:p>
      <w:r>
        <w:t>关键词搜索：https://www.jiaokey.com/tag/现象学理论体系剖析  现象学横向研究.html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