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广告理论与战略</w:t>
      </w:r>
    </w:p>
    <w:p>
      <w:r>
        <w:rPr>
          <w:rFonts w:ascii="宋体" w:hAnsi="宋体" w:eastAsia="宋体"/>
          <w:sz w:val="24"/>
        </w:rPr>
        <w:t>（日）清水公一著；胡晓云，朱磊，张姮译（日本城西大学）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广告理论与战略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（日）清水公一著；胡晓云，朱磊，张姮译（日本城西大学）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本书出售、求购地址：https://www.jiaokey.com/book/detail/11460704.html</w:t>
      </w:r>
    </w:p>
    <w:p>
      <w:r>
        <w:t>更多相关图书推荐：https://www.jiaokey.com</w:t>
      </w:r>
    </w:p>
    <w:p>
      <w:r>
        <w:t>（日）清水公一著；胡晓云，朱磊，张姮译（日本城西大学） 其他作品：https://www.jiaokey.com/tag/（日）清水公一著；胡晓云，朱磊，张姮译（日本城西大学）.html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关键词搜索：https://www.jiaokey.com/tag/广告理论与战略.html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