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土壤农业化学常规分析方法</w:t>
      </w:r>
    </w:p>
    <w:p>
      <w:r>
        <w:rPr>
          <w:rFonts w:ascii="宋体" w:hAnsi="宋体" w:eastAsia="宋体"/>
          <w:sz w:val="24"/>
        </w:rPr>
        <w:t>曹恒生，唐荣华，朱泉娣著；中国土壤学会农业化学专业委员会编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土壤农业化学常规分析方法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曹恒生，唐荣华，朱泉娣著；中国土壤学会农业化学专业委员会编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本书出售、求购地址：https://www.jiaokey.com/book/detail/11453262.html</w:t>
      </w:r>
    </w:p>
    <w:p>
      <w:r>
        <w:t>更多相关图书推荐：https://www.jiaokey.com</w:t>
      </w:r>
    </w:p>
    <w:p>
      <w:r>
        <w:t>曹恒生，唐荣华，朱泉娣著；中国土壤学会农业化学专业委员会编 其他作品：https://www.jiaokey.com/tag/曹恒生，唐荣华，朱泉娣著；中国土壤学会农业化学专业委员会编.html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关键词搜索：https://www.jiaokey.com/tag/土壤农业化学常规分析方法.html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