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食物与药物配伍禁忌</w:t>
      </w:r>
    </w:p>
    <w:p>
      <w:r>
        <w:rPr>
          <w:rFonts w:ascii="宋体" w:hAnsi="宋体" w:eastAsia="宋体"/>
          <w:sz w:val="24"/>
        </w:rPr>
        <w:t>郝锦峰，马玉清主编；李欣，扈晓梅，李春英副主编；陈玉清，陈宗刚，张洁，高惠云，王桂香，王洪波编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食物与药物配伍禁忌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郝锦峰，马玉清主编；李欣，扈晓梅，李春英副主编；陈玉清，陈宗刚，张洁，高惠云，王桂香，王洪波编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本书出售、求购地址：https://www.jiaokey.com/book/detail/11450366.html</w:t>
      </w:r>
    </w:p>
    <w:p>
      <w:r>
        <w:t>更多相关图书推荐：https://www.jiaokey.com</w:t>
      </w:r>
    </w:p>
    <w:p>
      <w:r>
        <w:t>郝锦峰，马玉清主编；李欣，扈晓梅，李春英副主编；陈玉清，陈宗刚，张洁，高惠云，王桂香，王洪波编 其他作品：https://www.jiaokey.com/tag/郝锦峰，马玉清主编；李欣，扈晓梅，李春英副主编；陈玉清，陈宗刚，张洁，高惠云，王桂香，王洪波编.html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关键词搜索：https://www.jiaokey.com/tag/食物与药物配伍禁忌.html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