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光照千秋</w:t>
      </w:r>
    </w:p>
    <w:p>
      <w:r>
        <w:rPr>
          <w:rFonts w:ascii="宋体" w:hAnsi="宋体" w:eastAsia="宋体"/>
          <w:sz w:val="24"/>
        </w:rPr>
        <w:t>吴战堡，张有土，王金斗编审；张若炎，张志锐，于继耕编辑；浦江县民政局，中共浦江县委党史办公室编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光照千秋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吴战堡，张有土，王金斗编审；张若炎，张志锐，于继耕编辑；浦江县民政局，中共浦江县委党史办公室编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本书出售、求购地址：https://www.jiaokey.com/book/detail/11449575.html</w:t>
      </w:r>
    </w:p>
    <w:p>
      <w:r>
        <w:t>更多相关图书推荐：https://www.jiaokey.com</w:t>
      </w:r>
    </w:p>
    <w:p>
      <w:r>
        <w:t>吴战堡，张有土，王金斗编审；张若炎，张志锐，于继耕编辑；浦江县民政局，中共浦江县委党史办公室编 其他作品：https://www.jiaokey.com/tag/吴战堡，张有土，王金斗编审；张若炎，张志锐，于继耕编辑；浦江县民政局，中共浦江县委党史办公室编.html</w:t>
      </w:r>
    </w:p>
    <w:p>
      <w:r>
        <w:t>关键词搜索：https://www.jiaokey.com/tag/光照千秋.html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