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第2版</w:t>
      </w:r>
    </w:p>
    <w:p>
      <w:r>
        <w:rPr>
          <w:rFonts w:ascii="宋体" w:hAnsi="宋体" w:eastAsia="宋体"/>
          <w:sz w:val="24"/>
        </w:rPr>
        <w:t>胡建淼，金伟峰主编；于绍元等撰稿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胡建淼，金伟峰主编；于绍元等撰稿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本书出售、求购地址：https://www.jiaokey.com/book/detail/11447818.html</w:t>
      </w:r>
    </w:p>
    <w:p>
      <w:r>
        <w:t>更多相关图书推荐：https://www.jiaokey.com</w:t>
      </w:r>
    </w:p>
    <w:p>
      <w:r>
        <w:t>胡建淼，金伟峰主编；于绍元等撰稿 其他作品：https://www.jiaokey.com/tag/胡建淼，金伟峰主编；于绍元等撰稿.html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关键词搜索：https://www.jiaokey.com/tag/行政法与行政诉讼法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