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节日之后</w:t>
      </w:r>
    </w:p>
    <w:p>
      <w:r>
        <w:rPr>
          <w:rFonts w:ascii="宋体" w:hAnsi="宋体" w:eastAsia="宋体"/>
          <w:sz w:val="24"/>
        </w:rPr>
        <w:t>高秋福主编；（以色列）约书亚·凯南兹著；钟志清译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高秋福主编；（以色列）约书亚·凯南兹著；钟志清译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本书出售、求购地址：https://www.jiaokey.com/book/detail/11446684.html</w:t>
      </w:r>
    </w:p>
    <w:p>
      <w:r>
        <w:t>更多相关图书推荐：https://www.jiaokey.com</w:t>
      </w:r>
    </w:p>
    <w:p>
      <w:r>
        <w:t>高秋福主编；（以色列）约书亚·凯南兹著；钟志清译 其他作品：https://www.jiaokey.com/tag/高秋福主编；（以色列）约书亚·凯南兹著；钟志清译.html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关键词搜索：https://www.jiaokey.com/tag/节日之后.html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