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高二生物  上</w:t>
      </w:r>
    </w:p>
    <w:p>
      <w:r>
        <w:rPr>
          <w:rFonts w:ascii="宋体" w:hAnsi="宋体" w:eastAsia="宋体"/>
          <w:sz w:val="24"/>
        </w:rPr>
        <w:t>韦谷执行主编；刘复刚本册主编；沈忠平，胡道旭副主编；刘复刚，胡道旭，沈忠平，纪永明，于秋谨编者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韦谷执行主编；刘复刚本册主编；沈忠平，胡道旭副主编；刘复刚，胡道旭，沈忠平，纪永明，于秋谨编者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本书出售、求购地址：https://www.jiaokey.com/book/detail/11439654.html</w:t>
      </w:r>
    </w:p>
    <w:p>
      <w:r>
        <w:t>更多相关图书推荐：https://www.jiaokey.com</w:t>
      </w:r>
    </w:p>
    <w:p>
      <w:r>
        <w:t>韦谷执行主编；刘复刚本册主编；沈忠平，胡道旭副主编；刘复刚，胡道旭，沈忠平，纪永明，于秋谨编者 其他作品：https://www.jiaokey.com/tag/韦谷执行主编；刘复刚本册主编；沈忠平，胡道旭副主编；刘复刚，胡道旭，沈忠平，纪永明，于秋谨编者.html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关键词搜索：https://www.jiaokey.com/tag/中学教材标准学案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