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中外名人治学之道</w:t>
      </w:r>
    </w:p>
    <w:p>
      <w:r>
        <w:rPr>
          <w:rFonts w:ascii="宋体" w:hAnsi="宋体" w:eastAsia="宋体"/>
          <w:sz w:val="24"/>
        </w:rPr>
        <w:t>柳松主编；尤敬党，冯维铭，邱小真，刘燕华，华章，花惊秋，周仁良编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中外名人治学之道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柳松主编；尤敬党，冯维铭，邱小真，刘燕华，华章，花惊秋，周仁良编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本书出售、求购地址：https://www.jiaokey.com/book/detail/11439647.html</w:t>
      </w:r>
    </w:p>
    <w:p>
      <w:r>
        <w:t>更多相关图书推荐：https://www.jiaokey.com</w:t>
      </w:r>
    </w:p>
    <w:p>
      <w:r>
        <w:t>柳松主编；尤敬党，冯维铭，邱小真，刘燕华，华章，花惊秋，周仁良编 其他作品：https://www.jiaokey.com/tag/柳松主编；尤敬党，冯维铭，邱小真，刘燕华，华章，花惊秋，周仁良编.html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关键词搜索：https://www.jiaokey.com/tag/中外名人治学之道.html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