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新旧合同法比较  释义  例解  上</w:t>
      </w:r>
    </w:p>
    <w:p>
      <w:r>
        <w:rPr>
          <w:rFonts w:ascii="宋体" w:hAnsi="宋体" w:eastAsia="宋体"/>
          <w:sz w:val="24"/>
        </w:rPr>
        <w:t>《新旧合同法比较  释义  例解》编委会编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新旧合同法比较  释义  例解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《新旧合同法比较  释义  例解》编委会编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本书出售、求购地址：https://www.jiaokey.com/book/detail/11439137.html</w:t>
      </w:r>
    </w:p>
    <w:p>
      <w:r>
        <w:t>更多相关图书推荐：https://www.jiaokey.com</w:t>
      </w:r>
    </w:p>
    <w:p>
      <w:r>
        <w:t>《新旧合同法比较  释义  例解》编委会编 其他作品：https://www.jiaokey.com/tag/《新旧合同法比较  释义  例解》编委会编.html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关键词搜索：https://www.jiaokey.com/tag/新旧合同法比较  释义  例解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