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国有、私有企业经营机制比较</w:t>
      </w:r>
    </w:p>
    <w:p>
      <w:r>
        <w:rPr>
          <w:rFonts w:ascii="宋体" w:hAnsi="宋体" w:eastAsia="宋体"/>
          <w:sz w:val="24"/>
        </w:rPr>
        <w:t>李连进主编；李连进，刘泓，万全，黄雪青，王强，郭艳晖编写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国有、私有企业经营机制比较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李连进主编；李连进，刘泓，万全，黄雪青，王强，郭艳晖编写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本书出售、求购地址：https://www.jiaokey.com/book/detail/11434467.html</w:t>
      </w:r>
    </w:p>
    <w:p>
      <w:r>
        <w:t>更多相关图书推荐：https://www.jiaokey.com</w:t>
      </w:r>
    </w:p>
    <w:p>
      <w:r>
        <w:t>李连进主编；李连进，刘泓，万全，黄雪青，王强，郭艳晖编写 其他作品：https://www.jiaokey.com/tag/李连进主编；李连进，刘泓，万全，黄雪青，王强，郭艳晖编写.html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关键词搜索：https://www.jiaokey.com/tag/国有、私有企业经营机制比较.html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