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霸菱破产与金融衍生产品</w:t>
      </w:r>
    </w:p>
    <w:p>
      <w:r>
        <w:rPr>
          <w:rFonts w:ascii="宋体" w:hAnsi="宋体" w:eastAsia="宋体"/>
          <w:sz w:val="24"/>
        </w:rPr>
        <w:t>张光平英文原著；张光平（第二、三部分），黄顺柳（第一部分）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霸菱破产与金融衍生产品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张光平英文原著；张光平（第二、三部分），黄顺柳（第一部分）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本书出售、求购地址：https://www.jiaokey.com/book/detail/11427560.html</w:t>
      </w:r>
    </w:p>
    <w:p>
      <w:r>
        <w:t>更多相关图书推荐：https://www.jiaokey.com</w:t>
      </w:r>
    </w:p>
    <w:p>
      <w:r>
        <w:t>张光平英文原著；张光平（第二、三部分），黄顺柳（第一部分） 其他作品：https://www.jiaokey.com/tag/张光平英文原著；张光平（第二、三部分），黄顺柳（第一部分）.html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关键词搜索：https://www.jiaokey.com/tag/霸菱破产与金融衍生产品.html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