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拉丁化新文字运动编年纪事  下</w:t>
      </w:r>
    </w:p>
    <w:p>
      <w:r>
        <w:rPr>
          <w:rFonts w:ascii="宋体" w:hAnsi="宋体" w:eastAsia="宋体"/>
          <w:sz w:val="24"/>
        </w:rPr>
        <w:t>倪海曙著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拉丁化新文字运动编年纪事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中国人民大学语言文字研究所出版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本书出售、求购地址：https://www.jiaokey.com/book/detail/11427366.html</w:t>
      </w:r>
    </w:p>
    <w:p>
      <w:r>
        <w:t>更多相关图书推荐：https://www.jiaokey.com</w:t>
      </w:r>
    </w:p>
    <w:p>
      <w:r>
        <w:t>倪海曙著 其他作品：https://www.jiaokey.com/tag/倪海曙著.html</w:t>
      </w:r>
    </w:p>
    <w:p>
      <w:r>
        <w:t>中国人民大学语言文字研究所出版 出版图书：https://www.jiaokey.com/tag/中国人民大学语言文字研究所出版.html</w:t>
      </w:r>
    </w:p>
    <w:p>
      <w:r>
        <w:t>关键词搜索：https://www.jiaokey.com/tag/拉丁化新文字运动编年纪事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