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  第5版</w:t>
      </w:r>
    </w:p>
    <w:p>
      <w:r>
        <w:rPr>
          <w:rFonts w:ascii="宋体" w:hAnsi="宋体" w:eastAsia="宋体"/>
          <w:sz w:val="24"/>
        </w:rPr>
        <w:t>（德）弗里德赫尔穆·胡芬（Friedhelm Hufen）著；莫光华译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（德）弗里德赫尔穆·胡芬（Friedhelm Hufen）著；莫光华译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本书出售、求购地址：https://www.jiaokey.com/book/detail/11425711.html</w:t>
      </w:r>
    </w:p>
    <w:p>
      <w:r>
        <w:t>更多相关图书推荐：https://www.jiaokey.com</w:t>
      </w:r>
    </w:p>
    <w:p>
      <w:r>
        <w:t>（德）弗里德赫尔穆·胡芬（Friedhelm Hufen）著；莫光华译 其他作品：https://www.jiaokey.com/tag/（德）弗里德赫尔穆·胡芬（Friedhelm Hufen）著；莫光华译.html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关键词搜索：https://www.jiaokey.com/tag/行政诉讼法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