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市场经济法律概论</w:t>
      </w:r>
    </w:p>
    <w:p>
      <w:r>
        <w:rPr>
          <w:rFonts w:ascii="宋体" w:hAnsi="宋体" w:eastAsia="宋体"/>
          <w:sz w:val="24"/>
        </w:rPr>
        <w:t>文学国主编；文学国，彭灵勇，张艳，张林，田芙蓉，郭飞，鲍立衔，王国贤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文学国主编；文学国，彭灵勇，张艳，张林，田芙蓉，郭飞，鲍立衔，王国贤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本书出售、求购地址：https://www.jiaokey.com/book/detail/11425276.html</w:t>
      </w:r>
    </w:p>
    <w:p>
      <w:r>
        <w:t>更多相关图书推荐：https://www.jiaokey.com</w:t>
      </w:r>
    </w:p>
    <w:p>
      <w:r>
        <w:t>文学国主编；文学国，彭灵勇，张艳，张林，田芙蓉，郭飞，鲍立衔，王国贤 其他作品：https://www.jiaokey.com/tag/文学国主编；文学国，彭灵勇，张艳，张林，田芙蓉，郭飞，鲍立衔，王国贤.html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关键词搜索：https://www.jiaokey.com/tag/市场经济法律概论.html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