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重新就业  关于“丧失劳动能力和重新就业”问题的跨国比较研究</w:t>
      </w:r>
    </w:p>
    <w:p>
      <w:r>
        <w:rPr>
          <w:rFonts w:ascii="宋体" w:hAnsi="宋体" w:eastAsia="宋体"/>
          <w:sz w:val="24"/>
        </w:rPr>
        <w:t>福兰克·S.布劳茨（Frank S.Bloch），瑞恩科·普林斯（Rienk Prins）编；徐凡译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重新就业  关于“丧失劳动能力和重新就业”问题的跨国比较研究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福兰克·S.布劳茨（Frank S.Bloch），瑞恩科·普林斯（Rienk Prins）编；徐凡译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本书出售、求购地址：https://www.jiaokey.com/book/detail/11422598.html</w:t>
      </w:r>
    </w:p>
    <w:p>
      <w:r>
        <w:t>更多相关图书推荐：https://www.jiaokey.com</w:t>
      </w:r>
    </w:p>
    <w:p>
      <w:r>
        <w:t>福兰克·S.布劳茨（Frank S.Bloch），瑞恩科·普林斯（Rienk Prins）编；徐凡译 其他作品：https://www.jiaokey.com/tag/福兰克·S.布劳茨（Frank S.Bloch），瑞恩科·普林斯（Rienk Prins）编；徐凡译.html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关键词搜索：https://www.jiaokey.com/tag/重新就业  关于“丧失劳动能力和重新就业”问题的跨国比较研究.html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