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制定农业和农村投资项目的培训指南  2  项目调查及初步设计</w:t>
      </w:r>
    </w:p>
    <w:p>
      <w:r>
        <w:rPr>
          <w:rFonts w:ascii="宋体" w:hAnsi="宋体" w:eastAsia="宋体"/>
          <w:sz w:val="24"/>
        </w:rPr>
        <w:t>联合国粮食及农业组织发展政策研究和培训处政策分析室编；于凤辉译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制定农业和农村投资项目的培训指南  2  项目调查及初步设计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联合国粮食及农业组织发展政策研究和培训处政策分析室编；于凤辉译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本书出售、求购地址：https://www.jiaokey.com/book/detail/11422238.html</w:t>
      </w:r>
    </w:p>
    <w:p>
      <w:r>
        <w:t>更多相关图书推荐：https://www.jiaokey.com</w:t>
      </w:r>
    </w:p>
    <w:p>
      <w:r>
        <w:t>联合国粮食及农业组织发展政策研究和培训处政策分析室编；于凤辉译 其他作品：https://www.jiaokey.com/tag/联合国粮食及农业组织发展政策研究和培训处政策分析室编；于凤辉译.html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关键词搜索：https://www.jiaokey.com/tag/制定农业和农村投资项目的培训指南  2  项目调查及初步设计.html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