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人民主权论</w:t>
      </w:r>
    </w:p>
    <w:p>
      <w:r>
        <w:rPr>
          <w:rFonts w:ascii="宋体" w:hAnsi="宋体" w:eastAsia="宋体"/>
          <w:sz w:val="24"/>
        </w:rPr>
        <w:t>谢晖，陈金钊，肖金明主编；肖君拥著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谢晖，陈金钊，肖金明主编；肖君拥著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本书出售、求购地址：https://www.jiaokey.com/book/detail/11421860.html</w:t>
      </w:r>
    </w:p>
    <w:p>
      <w:r>
        <w:t>更多相关图书推荐：https://www.jiaokey.com</w:t>
      </w:r>
    </w:p>
    <w:p>
      <w:r>
        <w:t>谢晖，陈金钊，肖金明主编；肖君拥著 其他作品：https://www.jiaokey.com/tag/谢晖，陈金钊，肖金明主编；肖君拥著.html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关键词搜索：https://www.jiaokey.com/tag/人民主权论.html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