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个人所得税业务操作细节</w:t>
      </w:r>
    </w:p>
    <w:p>
      <w:r>
        <w:rPr>
          <w:rFonts w:ascii="宋体" w:hAnsi="宋体" w:eastAsia="宋体"/>
          <w:sz w:val="24"/>
        </w:rPr>
        <w:t>曾建斌著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个人所得税业务操作细节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个人所得税(学科: 基本知识 地点: 中国) 个人所得税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本书出售、求购地址：https://www.jiaokey.com/book/detail/11421587.html</w:t>
      </w:r>
    </w:p>
    <w:p>
      <w:r>
        <w:t>更多相关图书推荐：https://www.jiaokey.com</w:t>
      </w:r>
    </w:p>
    <w:p>
      <w:r>
        <w:t>曾建斌著 其他作品：https://www.jiaokey.com/tag/曾建斌著.html</w:t>
      </w:r>
    </w:p>
    <w:p>
      <w:r>
        <w:t>广州：广州经济出版社 出版图书：https://www.jiaokey.com/tag/广州：广州经济出版社.html</w:t>
      </w:r>
    </w:p>
    <w:p>
      <w:r>
        <w:t>关键词搜索：https://www.jiaokey.com/tag/个人所得税(学科: 基本知识 地点: 中国) 个人所得税.html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