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金融热点探析  形势、汇率、调控、股改及其他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金融热点探析  形势、汇率、调控、股改及其他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本书出售、求购地址：https://www.jiaokey.com/book/detail/11421438.html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关键词搜索：https://www.jiaokey.com/tag/金融热点探析  形势、汇率、调控、股改及其他.html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