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</w:t>
      </w:r>
    </w:p>
    <w:p>
      <w:r>
        <w:rPr>
          <w:rFonts w:ascii="宋体" w:hAnsi="宋体" w:eastAsia="宋体"/>
          <w:sz w:val="24"/>
        </w:rPr>
        <w:t>（苏）亚历山大·沃依诺夫著；张沛恒，赵宝康译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（苏）亚历山大·沃依诺夫著；张沛恒，赵宝康译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本书出售、求购地址：https://www.jiaokey.com/book/detail/11415543.html</w:t>
      </w:r>
    </w:p>
    <w:p>
      <w:r>
        <w:t>更多相关图书推荐：https://www.jiaokey.com</w:t>
      </w:r>
    </w:p>
    <w:p>
      <w:r>
        <w:t>（苏）亚历山大·沃依诺夫著；张沛恒，赵宝康译 其他作品：https://www.jiaokey.com/tag/（苏）亚历山大·沃依诺夫著；张沛恒，赵宝康译.html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