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汉武帝和太史公</w:t>
      </w:r>
    </w:p>
    <w:p>
      <w:r>
        <w:rPr>
          <w:rFonts w:ascii="宋体" w:hAnsi="宋体" w:eastAsia="宋体"/>
          <w:sz w:val="24"/>
        </w:rPr>
        <w:t>（联邦德国）埃尔文·魏克德著；张玉书，冯国庆译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汉武帝和太史公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（联邦德国）埃尔文·魏克德著；张玉书，冯国庆译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本书出售、求购地址：https://www.jiaokey.com/book/detail/11415188.html</w:t>
      </w:r>
    </w:p>
    <w:p>
      <w:r>
        <w:t>更多相关图书推荐：https://www.jiaokey.com</w:t>
      </w:r>
    </w:p>
    <w:p>
      <w:r>
        <w:t>（联邦德国）埃尔文·魏克德著；张玉书，冯国庆译 其他作品：https://www.jiaokey.com/tag/（联邦德国）埃尔文·魏克德著；张玉书，冯国庆译.html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关键词搜索：https://www.jiaokey.com/tag/汉武帝和太史公.html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