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顾颉刚与中国新史学：民族主义与取代中国传统方案的探索</w:t>
      </w:r>
    </w:p>
    <w:p>
      <w:r>
        <w:rPr>
          <w:rFonts w:ascii="宋体" w:hAnsi="宋体" w:eastAsia="宋体"/>
          <w:sz w:val="24"/>
        </w:rPr>
        <w:t>施耐德著；梅寅生译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顾颉刚与中国新史学：民族主义与取代中国传统方案的探索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施耐德著；梅寅生译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本书出售、求购地址：https://www.jiaokey.com/book/detail/11414891.html</w:t>
      </w:r>
    </w:p>
    <w:p>
      <w:r>
        <w:t>更多相关图书推荐：https://www.jiaokey.com</w:t>
      </w:r>
    </w:p>
    <w:p>
      <w:r>
        <w:t>施耐德著；梅寅生译 其他作品：https://www.jiaokey.com/tag/施耐德著；梅寅生译.html</w:t>
      </w:r>
    </w:p>
    <w:p>
      <w:r>
        <w:t>华世出版社 出版图书：https://www.jiaokey.com/tag/华世出版社.html</w:t>
      </w:r>
    </w:p>
    <w:p>
      <w:r>
        <w:t>关键词搜索：https://www.jiaokey.com/tag/顾颉刚与中国新史学：民族主义与取代中国传统方案的探索.html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