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我们当代的原始民族</w:t>
      </w:r>
    </w:p>
    <w:p>
      <w:r>
        <w:rPr>
          <w:rFonts w:ascii="宋体" w:hAnsi="宋体" w:eastAsia="宋体"/>
          <w:sz w:val="24"/>
        </w:rPr>
        <w:t>乔治·彼得·穆达克著；童恩正译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我们当代的原始民族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乔治·彼得·穆达克著；童恩正译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本书出售、求购地址：https://www.jiaokey.com/book/detail/11414662.html</w:t>
      </w:r>
    </w:p>
    <w:p>
      <w:r>
        <w:t>更多相关图书推荐：https://www.jiaokey.com</w:t>
      </w:r>
    </w:p>
    <w:p>
      <w:r>
        <w:t>乔治·彼得·穆达克著；童恩正译 其他作品：https://www.jiaokey.com/tag/乔治·彼得·穆达克著；童恩正译.html</w:t>
      </w:r>
    </w:p>
    <w:p>
      <w:r>
        <w:t>四川民族研究所 出版图书：https://www.jiaokey.com/tag/四川民族研究所.html</w:t>
      </w:r>
    </w:p>
    <w:p>
      <w:r>
        <w:t>关键词搜索：https://www.jiaokey.com/tag/我们当代的原始民族.html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