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艺术创造的本性</w:t>
      </w:r>
    </w:p>
    <w:p>
      <w:r>
        <w:rPr>
          <w:rFonts w:ascii="宋体" w:hAnsi="宋体" w:eastAsia="宋体"/>
          <w:sz w:val="24"/>
        </w:rPr>
        <w:t>（保）利洛夫（Лилов，Александр）著；中国社会科学院外国文学研究所，外国文学研究资料丛书编辑委员会编；郭家申译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艺术创造的本性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（保）利洛夫（Лилов，Александр）著；中国社会科学院外国文学研究所，外国文学研究资料丛书编辑委员会编；郭家申译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本书出售、求购地址：https://www.jiaokey.com/book/detail/11411094.html</w:t>
      </w:r>
    </w:p>
    <w:p>
      <w:r>
        <w:t>更多相关图书推荐：https://www.jiaokey.com</w:t>
      </w:r>
    </w:p>
    <w:p>
      <w:r>
        <w:t>（保）利洛夫（Лилов，Александр）著；中国社会科学院外国文学研究所，外国文学研究资料丛书编辑委员会编；郭家申译 其他作品：https://www.jiaokey.com/tag/（保）利洛夫（Лилов，Александр）著；中国社会科学院外国文学研究所，外国文学研究资料丛书编辑委员会编；郭家申译.html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关键词搜索：https://www.jiaokey.com/tag/艺术创造的本性.html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