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竖笛吹奏与五线谱常识</w:t>
      </w:r>
    </w:p>
    <w:p>
      <w:r>
        <w:rPr>
          <w:rFonts w:ascii="宋体" w:hAnsi="宋体" w:eastAsia="宋体"/>
          <w:sz w:val="24"/>
        </w:rPr>
        <w:t>杨永德，熊寄语编著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竖笛吹奏与五线谱常识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杨永德，熊寄语编著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本书出售、求购地址：https://www.jiaokey.com/book/detail/11409884.html</w:t>
      </w:r>
    </w:p>
    <w:p>
      <w:r>
        <w:t>更多相关图书推荐：https://www.jiaokey.com</w:t>
      </w:r>
    </w:p>
    <w:p>
      <w:r>
        <w:t>杨永德，熊寄语编著 其他作品：https://www.jiaokey.com/tag/杨永德，熊寄语编著.html</w:t>
      </w:r>
    </w:p>
    <w:p>
      <w:r>
        <w:t>华岳文艺出版社 出版图书：https://www.jiaokey.com/tag/华岳文艺出版社.html</w:t>
      </w:r>
    </w:p>
    <w:p>
      <w:r>
        <w:t>关键词搜索：https://www.jiaokey.com/tag/竖笛吹奏与五线谱常识.html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