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第2版</w:t>
      </w:r>
    </w:p>
    <w:p>
      <w:r>
        <w:rPr>
          <w:rFonts w:ascii="宋体" w:hAnsi="宋体" w:eastAsia="宋体"/>
          <w:sz w:val="24"/>
        </w:rPr>
        <w:t>郝兴伟主编；巩裕伟副主编；邹玉梅，王桂云，蔡晓军，刘毅，吕刚，焦文江编者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郝兴伟主编；巩裕伟副主编；邹玉梅，王桂云，蔡晓军，刘毅，吕刚，焦文江编者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本书出售、求购地址：https://www.jiaokey.com/book/detail/11407630.html</w:t>
      </w:r>
    </w:p>
    <w:p>
      <w:r>
        <w:t>更多相关图书推荐：https://www.jiaokey.com</w:t>
      </w:r>
    </w:p>
    <w:p>
      <w:r>
        <w:t>郝兴伟主编；巩裕伟副主编；邹玉梅，王桂云，蔡晓军，刘毅，吕刚，焦文江编者 其他作品：https://www.jiaokey.com/tag/郝兴伟主编；巩裕伟副主编；邹玉梅，王桂云，蔡晓军，刘毅，吕刚，焦文江编者.html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