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大学生心理健康概论</w:t>
      </w:r>
    </w:p>
    <w:p>
      <w:r>
        <w:rPr>
          <w:rFonts w:ascii="宋体" w:hAnsi="宋体" w:eastAsia="宋体"/>
          <w:sz w:val="24"/>
        </w:rPr>
        <w:t>陈刚主编；成信法，巴莺乔副主编；方年根，巴莺乔，成信法，陈刚，罗伟明，荆春燕，彭建华编者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陈刚主编；成信法，巴莺乔副主编；方年根，巴莺乔，成信法，陈刚，罗伟明，荆春燕，彭建华编者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本书出售、求购地址：https://www.jiaokey.com/book/detail/11407209.html</w:t>
      </w:r>
    </w:p>
    <w:p>
      <w:r>
        <w:t>更多相关图书推荐：https://www.jiaokey.com</w:t>
      </w:r>
    </w:p>
    <w:p>
      <w:r>
        <w:t>陈刚主编；成信法，巴莺乔副主编；方年根，巴莺乔，成信法，陈刚，罗伟明，荆春燕，彭建华编者 其他作品：https://www.jiaokey.com/tag/陈刚主编；成信法，巴莺乔副主编；方年根，巴莺乔，成信法，陈刚，罗伟明，荆春燕，彭建华编者.html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关键词搜索：https://www.jiaokey.com/tag/大学生心理健康概论.html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