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21世纪日本的国家战略</w:t>
      </w:r>
    </w:p>
    <w:p>
      <w:r>
        <w:rPr>
          <w:rFonts w:ascii="宋体" w:hAnsi="宋体" w:eastAsia="宋体"/>
          <w:sz w:val="24"/>
        </w:rPr>
        <w:t>李寒梅 余昺雕 任清玉 白智立著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21世纪日本的国家战略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李寒梅 余昺雕 任清玉 白智立著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本书出售、求购地址：https://www.jiaokey.com/book/detail/11404659.html</w:t>
      </w:r>
    </w:p>
    <w:p>
      <w:r>
        <w:t>更多相关图书推荐：https://www.jiaokey.com</w:t>
      </w:r>
    </w:p>
    <w:p>
      <w:r>
        <w:t>李寒梅 余昺雕 任清玉 白智立著 其他作品：https://www.jiaokey.com/tag/李寒梅 余昺雕 任清玉 白智立著.html</w:t>
      </w:r>
    </w:p>
    <w:p>
      <w:r>
        <w:t>关键词搜索：https://www.jiaokey.com/tag/21世纪日本的国家战略.html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