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战后日本经济：以经济小说的形式解读1945年-2000年日本经济发展全过程</w:t>
      </w:r>
    </w:p>
    <w:p>
      <w:r>
        <w:rPr>
          <w:rFonts w:ascii="宋体" w:hAnsi="宋体" w:eastAsia="宋体"/>
          <w:sz w:val="24"/>
        </w:rPr>
        <w:t>（日）堺宪一著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战后日本经济：以经济小说的形式解读1945年-2000年日本经济发展全过程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本书出售、求购地址：https://www.jiaokey.com/book/detail/11404657.html</w:t>
      </w:r>
    </w:p>
    <w:p>
      <w:r>
        <w:t>更多相关图书推荐：https://www.jiaokey.com</w:t>
      </w:r>
    </w:p>
    <w:p>
      <w:r>
        <w:t>（日）堺宪一著 其他作品：https://www.jiaokey.com/tag/（日）堺宪一著.html</w:t>
      </w:r>
    </w:p>
    <w:p>
      <w:r>
        <w:t>关键词搜索：https://www.jiaokey.com/tag/战后日本经济：以经济小说的形式解读1945年-2000年日本经济发展全过程.html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