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柔性应变战略</w:t>
      </w:r>
    </w:p>
    <w:p>
      <w:r>
        <w:rPr>
          <w:rFonts w:ascii="宋体" w:hAnsi="宋体" w:eastAsia="宋体"/>
          <w:sz w:val="24"/>
        </w:rPr>
        <w:t>李德伟，邓绍英主编；侯雁，刘军，管仕平著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柔性应变战略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李德伟，邓绍英主编；侯雁，刘军，管仕平著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风险管理) 企业管理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本书出售、求购地址：https://www.jiaokey.com/book/detail/11404407.html</w:t>
      </w:r>
    </w:p>
    <w:p>
      <w:r>
        <w:t>更多相关图书推荐：https://www.jiaokey.com</w:t>
      </w:r>
    </w:p>
    <w:p>
      <w:r>
        <w:t>李德伟，邓绍英主编；侯雁，刘军，管仕平著 其他作品：https://www.jiaokey.com/tag/李德伟，邓绍英主编；侯雁，刘军，管仕平著.html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关键词搜索：https://www.jiaokey.com/tag/企业管理(学科: 风险管理) 企业管理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