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基本原理与系统结构</w:t>
      </w:r>
    </w:p>
    <w:p>
      <w:r>
        <w:rPr>
          <w:rFonts w:ascii="宋体" w:hAnsi="宋体" w:eastAsia="宋体"/>
          <w:sz w:val="24"/>
        </w:rPr>
        <w:t>（联邦德国）恩卡纳考，（联邦德国）施莱奇坦达尔著；赵一义等译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基本原理与系统结构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（联邦德国）恩卡纳考，（联邦德国）施莱奇坦达尔著；赵一义等译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本书出售、求购地址：https://www.jiaokey.com/book/detail/11402818.html</w:t>
      </w:r>
    </w:p>
    <w:p>
      <w:r>
        <w:t>更多相关图书推荐：https://www.jiaokey.com</w:t>
      </w:r>
    </w:p>
    <w:p>
      <w:r>
        <w:t>（联邦德国）恩卡纳考，（联邦德国）施莱奇坦达尔著；赵一义等译 其他作品：https://www.jiaokey.com/tag/（联邦德国）恩卡纳考，（联邦德国）施莱奇坦达尔著；赵一义等译.html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关键词搜索：https://www.jiaokey.com/tag/计算机辅助设计  基本原理与系统结构.html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