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风水的常识与应用  现代办公家居好运风水参考手册</w:t>
      </w:r>
    </w:p>
    <w:p>
      <w:r>
        <w:rPr>
          <w:rFonts w:ascii="宋体" w:hAnsi="宋体" w:eastAsia="宋体"/>
          <w:sz w:val="24"/>
        </w:rPr>
        <w:t>杜大宁编著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风水的常识与应用  现代办公家居好运风水参考手册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本书出售、求购地址：https://www.jiaokey.com/book/detail/11400869.html</w:t>
      </w:r>
    </w:p>
    <w:p>
      <w:r>
        <w:t>更多相关图书推荐：https://www.jiaokey.com</w:t>
      </w:r>
    </w:p>
    <w:p>
      <w:r>
        <w:t>杜大宁编著 其他作品：https://www.jiaokey.com/tag/杜大宁编著.html</w:t>
      </w:r>
    </w:p>
    <w:p>
      <w:r>
        <w:t>北京市：中国旅游出版社 出版图书：https://www.jiaokey.com/tag/北京市：中国旅游出版社.html</w:t>
      </w:r>
    </w:p>
    <w:p>
      <w:r>
        <w:t>关键词搜索：https://www.jiaokey.com/tag/风水的常识与应用  现代办公家居好运风水参考手册.html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