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研究性学习在农村  江苏省海安县西场中学案例研究</w:t>
      </w:r>
    </w:p>
    <w:p>
      <w:r>
        <w:rPr>
          <w:rFonts w:ascii="宋体" w:hAnsi="宋体" w:eastAsia="宋体"/>
          <w:sz w:val="24"/>
        </w:rPr>
        <w:t>余进利，高卫星主编；李伯山，仲伯业，谭呈宏，赵正新，祝杭斌副主编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研究性学习在农村  江苏省海安县西场中学案例研究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余进利，高卫星主编；李伯山，仲伯业，谭呈宏，赵正新，祝杭斌副主编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本书出售、求购地址：https://www.jiaokey.com/book/detail/11398611.html</w:t>
      </w:r>
    </w:p>
    <w:p>
      <w:r>
        <w:t>更多相关图书推荐：https://www.jiaokey.com</w:t>
      </w:r>
    </w:p>
    <w:p>
      <w:r>
        <w:t>余进利，高卫星主编；李伯山，仲伯业，谭呈宏，赵正新，祝杭斌副主编 其他作品：https://www.jiaokey.com/tag/余进利，高卫星主编；李伯山，仲伯业，谭呈宏，赵正新，祝杭斌副主编.html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关键词搜索：https://www.jiaokey.com/tag/研究性学习在农村  江苏省海安县西场中学案例研究.html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