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下</w:t>
      </w:r>
    </w:p>
    <w:p>
      <w:r>
        <w:rPr>
          <w:rFonts w:ascii="宋体" w:hAnsi="宋体" w:eastAsia="宋体"/>
          <w:sz w:val="24"/>
        </w:rPr>
        <w:t>吴百诗主编；李锦泉，张孝林，徐忠锋，陈光德，喻有理编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吴百诗主编；李锦泉，张孝林，徐忠锋，陈光德，喻有理编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本书出售、求购地址：https://www.jiaokey.com/book/detail/11395248.html</w:t>
      </w:r>
    </w:p>
    <w:p>
      <w:r>
        <w:t>更多相关图书推荐：https://www.jiaokey.com</w:t>
      </w:r>
    </w:p>
    <w:p>
      <w:r>
        <w:t>吴百诗主编；李锦泉，张孝林，徐忠锋，陈光德，喻有理编 其他作品：https://www.jiaokey.com/tag/吴百诗主编；李锦泉，张孝林，徐忠锋，陈光德，喻有理编.html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