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做一天固定资产会计</w:t>
      </w:r>
    </w:p>
    <w:p>
      <w:r>
        <w:rPr>
          <w:rFonts w:ascii="宋体" w:hAnsi="宋体" w:eastAsia="宋体"/>
          <w:sz w:val="24"/>
        </w:rPr>
        <w:t>北京智浪奇管理咨询事务所编著；张洪兵主编；徐鸿宝，米静副主编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做一天固定资产会计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北京智浪奇管理咨询事务所编著；张洪兵主编；徐鸿宝，米静副主编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本书出售、求购地址：https://www.jiaokey.com/book/detail/11394140.html</w:t>
      </w:r>
    </w:p>
    <w:p>
      <w:r>
        <w:t>更多相关图书推荐：https://www.jiaokey.com</w:t>
      </w:r>
    </w:p>
    <w:p>
      <w:r>
        <w:t>北京智浪奇管理咨询事务所编著；张洪兵主编；徐鸿宝，米静副主编 其他作品：https://www.jiaokey.com/tag/北京智浪奇管理咨询事务所编著；张洪兵主编；徐鸿宝，米静副主编.html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关键词搜索：https://www.jiaokey.com/tag/做一天固定资产会计.html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