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万叶集的发明：作为国民国家和文化装置的古典</w:t>
      </w:r>
    </w:p>
    <w:p>
      <w:r>
        <w:rPr>
          <w:rFonts w:ascii="宋体" w:hAnsi="宋体" w:eastAsia="宋体"/>
          <w:sz w:val="24"/>
        </w:rPr>
        <w:t>（日）品田悦一著；邓庆真译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万叶集的发明：作为国民国家和文化装置的古典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（日）品田悦一著；邓庆真译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本书出售、求购地址：https://www.jiaokey.com/book/detail/11392750.html</w:t>
      </w:r>
    </w:p>
    <w:p>
      <w:r>
        <w:t>更多相关图书推荐：https://www.jiaokey.com</w:t>
      </w:r>
    </w:p>
    <w:p>
      <w:r>
        <w:t>（日）品田悦一著；邓庆真译 其他作品：https://www.jiaokey.com/tag/（日）品田悦一著；邓庆真译.html</w:t>
      </w:r>
    </w:p>
    <w:p>
      <w:r>
        <w:t>香港：香港教育出版社 出版图书：https://www.jiaokey.com/tag/香港：香港教育出版社.html</w:t>
      </w:r>
    </w:p>
    <w:p>
      <w:r>
        <w:t>关键词搜索：https://www.jiaokey.com/tag/万叶集的发明：作为国民国家和文化装置的古典.html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