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水利水电工程设计洪水计算手册</w:t>
      </w:r>
    </w:p>
    <w:p>
      <w:r>
        <w:rPr>
          <w:rFonts w:ascii="宋体" w:hAnsi="宋体" w:eastAsia="宋体"/>
          <w:sz w:val="24"/>
        </w:rPr>
        <w:t>水利部长江水水利委员会水文局，水利部南京水文水资源研究所主编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水利水电工程设计洪水计算手册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水利部长江水水利委员会水文局，水利部南京水文水资源研究所主编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本书出售、求购地址：https://www.jiaokey.com/book/detail/11392633.html</w:t>
      </w:r>
    </w:p>
    <w:p>
      <w:r>
        <w:t>更多相关图书推荐：https://www.jiaokey.com</w:t>
      </w:r>
    </w:p>
    <w:p>
      <w:r>
        <w:t>水利部长江水水利委员会水文局，水利部南京水文水资源研究所主编 其他作品：https://www.jiaokey.com/tag/水利部长江水水利委员会水文局，水利部南京水文水资源研究所主编.html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关键词搜索：https://www.jiaokey.com/tag/水利水电工程设计洪水计算手册.html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