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利用电影促成三民主义之实现及辅助各种事业之进行</w:t>
      </w:r>
    </w:p>
    <w:p>
      <w:r>
        <w:rPr>
          <w:rFonts w:ascii="宋体" w:hAnsi="宋体" w:eastAsia="宋体"/>
          <w:sz w:val="24"/>
        </w:rPr>
        <w:t>褚民谊著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利用电影促成三民主义之实现及辅助各种事业之进行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褚民谊著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中国教育电影协会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本书出售、求购地址：https://www.jiaokey.com/book/detail/11388302.html</w:t>
      </w:r>
    </w:p>
    <w:p>
      <w:r>
        <w:t>更多相关图书推荐：https://www.jiaokey.com</w:t>
      </w:r>
    </w:p>
    <w:p>
      <w:r>
        <w:t>褚民谊著 其他作品：https://www.jiaokey.com/tag/褚民谊著.html</w:t>
      </w:r>
    </w:p>
    <w:p>
      <w:r>
        <w:t>中国教育电影协会 出版图书：https://www.jiaokey.com/tag/中国教育电影协会.html</w:t>
      </w:r>
    </w:p>
    <w:p>
      <w:r>
        <w:t>关键词搜索：https://www.jiaokey.com/tag/利用电影促成三民主义之实现及辅助各种事业之进行.html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