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月落乌啼霜满天  第3版</w:t>
      </w:r>
    </w:p>
    <w:p>
      <w:r>
        <w:rPr>
          <w:rFonts w:ascii="宋体" w:hAnsi="宋体" w:eastAsia="宋体"/>
          <w:sz w:val="24"/>
        </w:rPr>
        <w:t>斯坦培克原著；秦戈船译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月落乌啼霜满天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斯坦培克原著；秦戈船译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本书出售、求购地址：https://www.jiaokey.com/book/detail/11387507.html</w:t>
      </w:r>
    </w:p>
    <w:p>
      <w:r>
        <w:t>更多相关图书推荐：https://www.jiaokey.com</w:t>
      </w:r>
    </w:p>
    <w:p>
      <w:r>
        <w:t>斯坦培克原著；秦戈船译 其他作品：https://www.jiaokey.com/tag/斯坦培克原著；秦戈船译.html</w:t>
      </w:r>
    </w:p>
    <w:p>
      <w:r>
        <w:t>上海：中华书局 出版图书：https://www.jiaokey.com/tag/上海：中华书局.html</w:t>
      </w:r>
    </w:p>
    <w:p>
      <w:r>
        <w:t>关键词搜索：https://www.jiaokey.com/tag/月落乌啼霜满天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