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新文字入门</w:t>
      </w:r>
    </w:p>
    <w:p>
      <w:r>
        <w:rPr>
          <w:rFonts w:ascii="宋体" w:hAnsi="宋体" w:eastAsia="宋体"/>
          <w:sz w:val="24"/>
        </w:rPr>
        <w:t>新文字研究会编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新文字研究会编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拉丁化-汉字(学科: 基本知识) 汉字-拉丁化(学科: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本书出售、求购地址：https://www.jiaokey.com/book/detail/11386577.html</w:t>
      </w:r>
    </w:p>
    <w:p>
      <w:r>
        <w:t>更多相关图书推荐：https://www.jiaokey.com</w:t>
      </w:r>
    </w:p>
    <w:p>
      <w:r>
        <w:t>新文字研究会编 其他作品：https://www.jiaokey.com/tag/新文字研究会编.html</w:t>
      </w:r>
    </w:p>
    <w:p>
      <w:r>
        <w:t>群众图书公司 出版图书：https://www.jiaokey.com/tag/群众图书公司.html</w:t>
      </w:r>
    </w:p>
    <w:p>
      <w:r>
        <w:t>关键词搜索：https://www.jiaokey.com/tag/拉丁化-汉字(学科: 基本知识) 汉字-拉丁化(学科: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