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</w:t>
      </w:r>
    </w:p>
    <w:p>
      <w:r>
        <w:rPr>
          <w:rFonts w:ascii="宋体" w:hAnsi="宋体" w:eastAsia="宋体"/>
          <w:sz w:val="24"/>
        </w:rPr>
        <w:t>（印）僧伽斯那等撰译；（北魏）慧觉等撰译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（印）僧伽斯那等撰译；（北魏）慧觉等撰译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本书出售、求购地址：https://www.jiaokey.com/book/detail/11376584.html</w:t>
      </w:r>
    </w:p>
    <w:p>
      <w:r>
        <w:t>更多相关图书推荐：https://www.jiaokey.com</w:t>
      </w:r>
    </w:p>
    <w:p>
      <w:r>
        <w:t>（印）僧伽斯那等撰译；（北魏）慧觉等撰译 其他作品：https://www.jiaokey.com/tag/（印）僧伽斯那等撰译；（北魏）慧觉等撰译.html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关键词搜索：https://www.jiaokey.com/tag/百喻经.html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