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OpenGL编程指南  第4版</w:t>
      </w:r>
    </w:p>
    <w:p>
      <w:r>
        <w:rPr>
          <w:rFonts w:ascii="宋体" w:hAnsi="宋体" w:eastAsia="宋体"/>
          <w:sz w:val="24"/>
        </w:rPr>
        <w:t>OpenGL体系结构审核委员会等著；邓郑祥译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OpenGL编程指南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OpenGL体系结构审核委员会等著；邓郑祥译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本书出售、求购地址：https://www.jiaokey.com/book/detail/11375857.html</w:t>
      </w:r>
    </w:p>
    <w:p>
      <w:r>
        <w:t>更多相关图书推荐：https://www.jiaokey.com</w:t>
      </w:r>
    </w:p>
    <w:p>
      <w:r>
        <w:t>OpenGL体系结构审核委员会等著；邓郑祥译 其他作品：https://www.jiaokey.com/tag/OpenGL体系结构审核委员会等著；邓郑祥译.html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关键词搜索：https://www.jiaokey.com/tag/OpenGL编程指南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